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4D" w:rsidRPr="00615A4F" w:rsidRDefault="0033194D" w:rsidP="0033194D">
      <w:pPr>
        <w:pStyle w:val="Default"/>
        <w:jc w:val="center"/>
        <w:rPr>
          <w:rFonts w:asciiTheme="minorHAnsi" w:hAnsiTheme="minorHAnsi"/>
          <w:b/>
          <w:sz w:val="28"/>
        </w:rPr>
      </w:pPr>
      <w:r w:rsidRPr="002564FE">
        <w:rPr>
          <w:rFonts w:asciiTheme="minorHAnsi" w:hAnsiTheme="minorHAnsi"/>
          <w:b/>
          <w:sz w:val="28"/>
        </w:rPr>
        <w:t xml:space="preserve">ВЦТО Росреестра </w:t>
      </w:r>
      <w:proofErr w:type="gramStart"/>
      <w:r w:rsidRPr="002564FE">
        <w:rPr>
          <w:rFonts w:asciiTheme="minorHAnsi" w:hAnsiTheme="minorHAnsi"/>
          <w:b/>
          <w:sz w:val="28"/>
        </w:rPr>
        <w:t>доступен</w:t>
      </w:r>
      <w:proofErr w:type="gramEnd"/>
      <w:r w:rsidRPr="002564FE">
        <w:rPr>
          <w:rFonts w:asciiTheme="minorHAnsi" w:hAnsiTheme="minorHAnsi"/>
          <w:b/>
          <w:sz w:val="28"/>
        </w:rPr>
        <w:t xml:space="preserve"> в круглосуточном режиме</w:t>
      </w:r>
    </w:p>
    <w:p w:rsidR="0033194D" w:rsidRDefault="0033194D" w:rsidP="0033194D">
      <w:pPr>
        <w:pStyle w:val="Default"/>
        <w:rPr>
          <w:rFonts w:asciiTheme="minorHAnsi" w:hAnsiTheme="minorHAnsi"/>
        </w:rPr>
      </w:pPr>
    </w:p>
    <w:p w:rsidR="0033194D" w:rsidRPr="00615A4F" w:rsidRDefault="0033194D" w:rsidP="0033194D">
      <w:pPr>
        <w:pStyle w:val="Default"/>
        <w:spacing w:line="360" w:lineRule="auto"/>
        <w:ind w:firstLine="709"/>
        <w:rPr>
          <w:rFonts w:asciiTheme="minorHAnsi" w:hAnsiTheme="minorHAnsi"/>
        </w:rPr>
      </w:pPr>
      <w:r w:rsidRPr="00615A4F">
        <w:rPr>
          <w:rFonts w:asciiTheme="minorHAnsi" w:hAnsiTheme="minorHAnsi"/>
        </w:rPr>
        <w:t xml:space="preserve">Ведомственный центр телефонного обслуживания Росреестра (ВЦТО) осуществляет телефонное консультирование </w:t>
      </w:r>
      <w:r>
        <w:rPr>
          <w:rFonts w:asciiTheme="minorHAnsi" w:hAnsiTheme="minorHAnsi"/>
        </w:rPr>
        <w:t>граждан</w:t>
      </w:r>
      <w:r w:rsidRPr="00615A4F">
        <w:rPr>
          <w:rFonts w:asciiTheme="minorHAnsi" w:hAnsiTheme="minorHAnsi"/>
        </w:rPr>
        <w:t xml:space="preserve"> по вопросам деятельност</w:t>
      </w:r>
      <w:r>
        <w:rPr>
          <w:rFonts w:asciiTheme="minorHAnsi" w:hAnsiTheme="minorHAnsi"/>
        </w:rPr>
        <w:t>и</w:t>
      </w:r>
      <w:r w:rsidRPr="00615A4F">
        <w:rPr>
          <w:rFonts w:asciiTheme="minorHAnsi" w:hAnsiTheme="minorHAnsi"/>
        </w:rPr>
        <w:t xml:space="preserve"> </w:t>
      </w:r>
      <w:hyperlink r:id="rId8" w:history="1">
        <w:r w:rsidRPr="00285328">
          <w:rPr>
            <w:rStyle w:val="a9"/>
            <w:rFonts w:asciiTheme="minorHAnsi" w:hAnsiTheme="minorHAnsi"/>
          </w:rPr>
          <w:t>Росреестра</w:t>
        </w:r>
      </w:hyperlink>
      <w:r w:rsidRPr="00615A4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В </w:t>
      </w:r>
      <w:r w:rsidRPr="00615A4F">
        <w:rPr>
          <w:rFonts w:asciiTheme="minorHAnsi" w:hAnsiTheme="minorHAnsi"/>
        </w:rPr>
        <w:t>2017 год</w:t>
      </w:r>
      <w:r>
        <w:rPr>
          <w:rFonts w:asciiTheme="minorHAnsi" w:hAnsiTheme="minorHAnsi"/>
        </w:rPr>
        <w:t>у</w:t>
      </w:r>
      <w:r w:rsidRPr="00615A4F">
        <w:rPr>
          <w:rFonts w:asciiTheme="minorHAnsi" w:hAnsiTheme="minorHAnsi"/>
        </w:rPr>
        <w:t xml:space="preserve"> в ВЦТО поступило более 4,3 млн. обращений</w:t>
      </w:r>
      <w:r>
        <w:rPr>
          <w:rFonts w:asciiTheme="minorHAnsi" w:hAnsiTheme="minorHAnsi"/>
        </w:rPr>
        <w:t>.</w:t>
      </w:r>
      <w:r w:rsidRPr="00615A4F">
        <w:rPr>
          <w:rFonts w:asciiTheme="minorHAnsi" w:hAnsiTheme="minorHAnsi"/>
        </w:rPr>
        <w:t xml:space="preserve"> </w:t>
      </w:r>
    </w:p>
    <w:p w:rsidR="0033194D" w:rsidRPr="00615A4F" w:rsidRDefault="0033194D" w:rsidP="0033194D">
      <w:pPr>
        <w:pStyle w:val="Default"/>
        <w:spacing w:line="360" w:lineRule="auto"/>
        <w:ind w:firstLine="709"/>
        <w:rPr>
          <w:rFonts w:asciiTheme="minorHAnsi" w:hAnsiTheme="minorHAnsi"/>
        </w:rPr>
      </w:pPr>
      <w:r w:rsidRPr="004C59F4">
        <w:rPr>
          <w:rFonts w:asciiTheme="minorHAnsi" w:hAnsiTheme="minorHAnsi"/>
        </w:rPr>
        <w:t xml:space="preserve">ВЦТО </w:t>
      </w:r>
      <w:proofErr w:type="gramStart"/>
      <w:r w:rsidRPr="004C59F4">
        <w:rPr>
          <w:rFonts w:asciiTheme="minorHAnsi" w:hAnsiTheme="minorHAnsi"/>
        </w:rPr>
        <w:t>предназначен</w:t>
      </w:r>
      <w:proofErr w:type="gramEnd"/>
      <w:r w:rsidRPr="004C59F4">
        <w:rPr>
          <w:rFonts w:asciiTheme="minorHAnsi" w:hAnsiTheme="minorHAnsi"/>
        </w:rPr>
        <w:t xml:space="preserve"> для оперативного консультирования граждан по </w:t>
      </w:r>
      <w:r>
        <w:rPr>
          <w:rFonts w:asciiTheme="minorHAnsi" w:hAnsiTheme="minorHAnsi"/>
        </w:rPr>
        <w:t xml:space="preserve">различным </w:t>
      </w:r>
      <w:r w:rsidRPr="004C59F4">
        <w:rPr>
          <w:rFonts w:asciiTheme="minorHAnsi" w:hAnsiTheme="minorHAnsi"/>
        </w:rPr>
        <w:t>вопросам</w:t>
      </w:r>
      <w:r>
        <w:rPr>
          <w:rFonts w:asciiTheme="minorHAnsi" w:hAnsiTheme="minorHAnsi"/>
        </w:rPr>
        <w:t xml:space="preserve"> предоставления государственных услуг Росреестра. Операторы по запросу предоставляют</w:t>
      </w:r>
      <w:r w:rsidRPr="00615A4F">
        <w:rPr>
          <w:rFonts w:asciiTheme="minorHAnsi" w:hAnsiTheme="minorHAnsi"/>
        </w:rPr>
        <w:t xml:space="preserve"> справочн</w:t>
      </w:r>
      <w:r>
        <w:rPr>
          <w:rFonts w:asciiTheme="minorHAnsi" w:hAnsiTheme="minorHAnsi"/>
        </w:rPr>
        <w:t>ую</w:t>
      </w:r>
      <w:r w:rsidRPr="00615A4F">
        <w:rPr>
          <w:rFonts w:asciiTheme="minorHAnsi" w:hAnsiTheme="minorHAnsi"/>
        </w:rPr>
        <w:t xml:space="preserve"> информаци</w:t>
      </w:r>
      <w:r>
        <w:rPr>
          <w:rFonts w:asciiTheme="minorHAnsi" w:hAnsiTheme="minorHAnsi"/>
        </w:rPr>
        <w:t>ю</w:t>
      </w:r>
      <w:r w:rsidRPr="00615A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</w:t>
      </w:r>
      <w:r w:rsidRPr="00615A4F">
        <w:rPr>
          <w:rFonts w:asciiTheme="minorHAnsi" w:hAnsiTheme="minorHAnsi"/>
        </w:rPr>
        <w:t xml:space="preserve"> территориальны</w:t>
      </w:r>
      <w:r>
        <w:rPr>
          <w:rFonts w:asciiTheme="minorHAnsi" w:hAnsiTheme="minorHAnsi"/>
        </w:rPr>
        <w:t>х</w:t>
      </w:r>
      <w:r w:rsidRPr="00615A4F">
        <w:rPr>
          <w:rFonts w:asciiTheme="minorHAnsi" w:hAnsiTheme="minorHAnsi"/>
        </w:rPr>
        <w:t xml:space="preserve"> отдел</w:t>
      </w:r>
      <w:r>
        <w:rPr>
          <w:rFonts w:asciiTheme="minorHAnsi" w:hAnsiTheme="minorHAnsi"/>
        </w:rPr>
        <w:t>ах Росреестра, ф</w:t>
      </w:r>
      <w:r w:rsidRPr="00615A4F">
        <w:rPr>
          <w:rFonts w:asciiTheme="minorHAnsi" w:hAnsiTheme="minorHAnsi"/>
        </w:rPr>
        <w:t>илиала</w:t>
      </w:r>
      <w:r>
        <w:rPr>
          <w:rFonts w:asciiTheme="minorHAnsi" w:hAnsiTheme="minorHAnsi"/>
        </w:rPr>
        <w:t>х</w:t>
      </w:r>
      <w:r w:rsidRPr="00615A4F">
        <w:rPr>
          <w:rFonts w:asciiTheme="minorHAnsi" w:hAnsiTheme="minorHAnsi"/>
        </w:rPr>
        <w:t xml:space="preserve"> </w:t>
      </w:r>
      <w:r w:rsidRPr="00285328">
        <w:rPr>
          <w:rFonts w:asciiTheme="minorHAnsi" w:hAnsiTheme="minorHAnsi"/>
        </w:rPr>
        <w:t>Кадастровой палаты</w:t>
      </w:r>
      <w:r>
        <w:rPr>
          <w:rFonts w:asciiTheme="minorHAnsi" w:hAnsiTheme="minorHAnsi"/>
        </w:rPr>
        <w:t>, офисах центра «</w:t>
      </w:r>
      <w:r w:rsidRPr="00285328">
        <w:rPr>
          <w:rFonts w:asciiTheme="minorHAnsi" w:hAnsiTheme="minorHAnsi"/>
        </w:rPr>
        <w:t>Мои Документы</w:t>
      </w:r>
      <w:r>
        <w:rPr>
          <w:rFonts w:asciiTheme="minorHAnsi" w:hAnsiTheme="minorHAnsi"/>
        </w:rPr>
        <w:t>»</w:t>
      </w:r>
      <w:r w:rsidRPr="00615A4F">
        <w:rPr>
          <w:rFonts w:asciiTheme="minorHAnsi" w:hAnsiTheme="minorHAnsi"/>
        </w:rPr>
        <w:t xml:space="preserve"> (адреса, телефоны, графики работы, </w:t>
      </w:r>
      <w:r>
        <w:rPr>
          <w:rFonts w:asciiTheme="minorHAnsi" w:hAnsiTheme="minorHAnsi"/>
        </w:rPr>
        <w:t xml:space="preserve">перечни услуг), могут рассчитать размер государственной пошлины </w:t>
      </w:r>
      <w:r w:rsidRPr="00615A4F">
        <w:rPr>
          <w:rFonts w:asciiTheme="minorHAnsi" w:hAnsiTheme="minorHAnsi"/>
        </w:rPr>
        <w:t xml:space="preserve">за предоставление услуг </w:t>
      </w:r>
      <w:r>
        <w:rPr>
          <w:rFonts w:asciiTheme="minorHAnsi" w:hAnsiTheme="minorHAnsi"/>
        </w:rPr>
        <w:t>по конкретной</w:t>
      </w:r>
      <w:r w:rsidRPr="00615A4F">
        <w:rPr>
          <w:rFonts w:asciiTheme="minorHAnsi" w:hAnsiTheme="minorHAnsi"/>
        </w:rPr>
        <w:t xml:space="preserve"> ситуации</w:t>
      </w:r>
      <w:r>
        <w:rPr>
          <w:rFonts w:asciiTheme="minorHAnsi" w:hAnsiTheme="minorHAnsi"/>
        </w:rPr>
        <w:t xml:space="preserve">. Позвонив на Единую горячую линию Росреестра, вы можете получить консультацию </w:t>
      </w:r>
      <w:r w:rsidRPr="00615A4F">
        <w:rPr>
          <w:rFonts w:asciiTheme="minorHAnsi" w:hAnsiTheme="minorHAnsi"/>
        </w:rPr>
        <w:t>по перечн</w:t>
      </w:r>
      <w:r>
        <w:rPr>
          <w:rFonts w:asciiTheme="minorHAnsi" w:hAnsiTheme="minorHAnsi"/>
        </w:rPr>
        <w:t>ю</w:t>
      </w:r>
      <w:r w:rsidRPr="00615A4F">
        <w:rPr>
          <w:rFonts w:asciiTheme="minorHAnsi" w:hAnsiTheme="minorHAnsi"/>
        </w:rPr>
        <w:t xml:space="preserve"> документов, необходимых для постановки на када</w:t>
      </w:r>
      <w:r>
        <w:rPr>
          <w:rFonts w:asciiTheme="minorHAnsi" w:hAnsiTheme="minorHAnsi"/>
        </w:rPr>
        <w:t xml:space="preserve">стровый учет и регистрации прав. Если вам нужна выписка сведений из ЕГРН, операторы расскажут </w:t>
      </w:r>
      <w:r w:rsidRPr="00615A4F">
        <w:rPr>
          <w:rFonts w:asciiTheme="minorHAnsi" w:hAnsiTheme="minorHAnsi"/>
        </w:rPr>
        <w:t>о порядке и способах подачи запроса</w:t>
      </w:r>
      <w:r>
        <w:rPr>
          <w:rFonts w:asciiTheme="minorHAnsi" w:hAnsiTheme="minorHAnsi"/>
        </w:rPr>
        <w:t xml:space="preserve"> на получение документа. </w:t>
      </w:r>
    </w:p>
    <w:p w:rsidR="0033194D" w:rsidRDefault="0033194D" w:rsidP="0033194D">
      <w:pPr>
        <w:pStyle w:val="Default"/>
        <w:spacing w:line="360" w:lineRule="auto"/>
        <w:ind w:firstLine="709"/>
        <w:rPr>
          <w:rFonts w:asciiTheme="minorHAnsi" w:hAnsiTheme="minorHAnsi"/>
        </w:rPr>
      </w:pPr>
      <w:r w:rsidRPr="00615A4F">
        <w:rPr>
          <w:rFonts w:asciiTheme="minorHAnsi" w:hAnsiTheme="minorHAnsi"/>
        </w:rPr>
        <w:t>Если ваш вопрос требует детальной проработки, оператор ВЦТО сформирует отложенный запрос</w:t>
      </w:r>
      <w:r>
        <w:rPr>
          <w:rFonts w:asciiTheme="minorHAnsi" w:hAnsiTheme="minorHAnsi"/>
        </w:rPr>
        <w:t xml:space="preserve">. Запрос </w:t>
      </w:r>
      <w:r w:rsidRPr="00615A4F">
        <w:rPr>
          <w:rFonts w:asciiTheme="minorHAnsi" w:hAnsiTheme="minorHAnsi"/>
        </w:rPr>
        <w:t xml:space="preserve">будет направлен </w:t>
      </w:r>
      <w:r>
        <w:rPr>
          <w:rFonts w:asciiTheme="minorHAnsi" w:hAnsiTheme="minorHAnsi"/>
        </w:rPr>
        <w:t>в</w:t>
      </w:r>
      <w:r w:rsidRPr="00615A4F">
        <w:rPr>
          <w:rFonts w:asciiTheme="minorHAnsi" w:hAnsiTheme="minorHAnsi"/>
        </w:rPr>
        <w:t xml:space="preserve"> Управление Ро</w:t>
      </w:r>
      <w:r>
        <w:rPr>
          <w:rFonts w:asciiTheme="minorHAnsi" w:hAnsiTheme="minorHAnsi"/>
        </w:rPr>
        <w:t>среестра или Кадастровую палату</w:t>
      </w:r>
      <w:r w:rsidRPr="00615A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вашего региона, где будет подготовлен ответ.</w:t>
      </w:r>
    </w:p>
    <w:p w:rsidR="0033194D" w:rsidRPr="00615A4F" w:rsidRDefault="0033194D" w:rsidP="0033194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615A4F">
        <w:rPr>
          <w:sz w:val="24"/>
          <w:szCs w:val="24"/>
        </w:rPr>
        <w:t>ногоканальный телефон горячей линии доступен</w:t>
      </w:r>
      <w:r>
        <w:rPr>
          <w:sz w:val="24"/>
          <w:szCs w:val="24"/>
        </w:rPr>
        <w:t xml:space="preserve"> в круглосуточном режиме</w:t>
      </w:r>
      <w:r w:rsidRPr="00615A4F"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615A4F">
        <w:rPr>
          <w:sz w:val="24"/>
          <w:szCs w:val="24"/>
        </w:rPr>
        <w:t xml:space="preserve"> 8 (800) 100-34-34. Звонок из регионов России бесплатный.</w:t>
      </w:r>
    </w:p>
    <w:p w:rsidR="00D82973" w:rsidRPr="0033194D" w:rsidRDefault="0033194D" w:rsidP="0033194D">
      <w:pPr>
        <w:spacing w:after="0" w:line="240" w:lineRule="auto"/>
        <w:jc w:val="right"/>
        <w:rPr>
          <w:i/>
          <w:sz w:val="20"/>
          <w:szCs w:val="20"/>
        </w:rPr>
      </w:pPr>
      <w:r w:rsidRPr="0033194D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524F6C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24F6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24F6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3194D"/>
    <w:rsid w:val="00353854"/>
    <w:rsid w:val="003E6480"/>
    <w:rsid w:val="00405FF5"/>
    <w:rsid w:val="004126C1"/>
    <w:rsid w:val="004D7657"/>
    <w:rsid w:val="00524F6C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Default">
    <w:name w:val="Default"/>
    <w:rsid w:val="00331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CAA7D-763B-4ECE-BE0E-EB253B92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2018-07-06T04:54:00Z</dcterms:modified>
</cp:coreProperties>
</file>